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165" w:rsidRDefault="0000000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Разъяснения по внедрению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их хранения</w:t>
      </w:r>
    </w:p>
    <w:p w:rsidR="00406165" w:rsidRDefault="004061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165" w:rsidRDefault="000000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участившимися обращениями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их хранения,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20 декабря 2019 г. № 236 (далее – Перечень), а также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20.12.2019 № 237 (далее – Инструкция), разъясняем следующее:</w:t>
      </w:r>
    </w:p>
    <w:p w:rsidR="00406165" w:rsidRDefault="000000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12 Указа Президента Российской Федерации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 от 23 мая 1996 г. № 763 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дня их официального опубликования, если самими актами не установлен другой порядок вступления их в силу.</w:t>
      </w:r>
    </w:p>
    <w:p w:rsidR="00406165" w:rsidRDefault="000000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Перечня и Инструкции были опубликованы на «Официальном интернет-портале правовой информации» (www.pravo.gov.ru) соответственно 7 и 14 февраля текущего года.</w:t>
      </w:r>
    </w:p>
    <w:p w:rsidR="00406165" w:rsidRDefault="000000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приказы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20 декабря 2019 г. № 236 и 237 вступили в силу соответственно 18 февраля и 25 февраля 2020 года. Одновременно с вступлением в силу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236, приказ Минкультуры России от 25 августа 2010 г.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их хранения» был признан утратившим силу приказом Минкультуры России от 17 декабря 2019 г. № 1964.</w:t>
      </w:r>
    </w:p>
    <w:p w:rsidR="00406165" w:rsidRDefault="000000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хранения документов, установленные Перечнем, применяются ко всем документам, законченным в делопроизводстве (в том числе до вступления в силу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20.12.2019 № 236), за исключением тех документов, которые уже внесены в описи дел постоянного хранения и акты о выделении к уничтожению документов, не подлежащих хранению, утвержденные в установленном порядке до вступления в силу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20.12.2019 № 236.</w:t>
      </w:r>
    </w:p>
    <w:p w:rsidR="00406165" w:rsidRDefault="000000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номенклатуры дел на 2020 год, согласованные и утвержденные до вступления в силу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Перечня и Инструкции, необходимо внести изменения по срокам хранения с указанием на статьи нового Перечня.</w:t>
      </w:r>
    </w:p>
    <w:p w:rsidR="00406165" w:rsidRDefault="004061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165" w:rsidRDefault="004061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165" w:rsidRDefault="00000000">
      <w:pPr>
        <w:ind w:firstLine="851"/>
        <w:jc w:val="both"/>
      </w:pPr>
      <w:r>
        <w:t xml:space="preserve">Полная версия этого текста находится на странице </w:t>
      </w:r>
      <w:hyperlink r:id="rId5">
        <w:r>
          <w:t>http://archives.ru/press/12-03-2020.shtml</w:t>
        </w:r>
      </w:hyperlink>
    </w:p>
    <w:p w:rsidR="00FD18B1" w:rsidRPr="00FD18B1" w:rsidRDefault="00FD18B1" w:rsidP="00FD18B1">
      <w:pPr>
        <w:shd w:val="clear" w:color="auto" w:fill="FFFFFF"/>
        <w:suppressAutoHyphens w:val="0"/>
        <w:spacing w:after="300" w:line="312" w:lineRule="atLeast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FD18B1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lastRenderedPageBreak/>
        <w:t>Разъяснения по внедрению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их хранения</w:t>
      </w:r>
    </w:p>
    <w:p w:rsidR="00FD18B1" w:rsidRPr="00FD18B1" w:rsidRDefault="00FD18B1" w:rsidP="00FD18B1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D18B1">
        <w:rPr>
          <w:rFonts w:ascii="Tahoma" w:eastAsia="Times New Roman" w:hAnsi="Tahom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Страница для печати">
              <a:hlinkClick xmlns:a="http://schemas.openxmlformats.org/drawingml/2006/main" r:id="rId6" tooltip="&quot;Показать страницу для печати для этой страниц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ца для печати">
                      <a:hlinkClick r:id="rId6" tooltip="&quot;Показать страницу для печати для этой страниц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B1" w:rsidRPr="00FD18B1" w:rsidRDefault="00FD18B1" w:rsidP="00FD18B1">
      <w:pPr>
        <w:shd w:val="clear" w:color="auto" w:fill="FFFFFF"/>
        <w:suppressAutoHyphens w:val="0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связи с участившимися обращениями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их хранения, утвержденного </w:t>
      </w:r>
      <w:hyperlink r:id="rId8" w:tgtFrame="_blank" w:history="1">
        <w:r w:rsidRPr="00FD18B1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FD18B1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>Росархива</w:t>
        </w:r>
        <w:proofErr w:type="spellEnd"/>
        <w:r w:rsidRPr="00FD18B1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 xml:space="preserve"> от 20 декабря 2019 г. № 236</w:t>
        </w:r>
      </w:hyperlink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(далее – Перечень), а также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утвержденной </w:t>
      </w:r>
      <w:hyperlink r:id="rId9" w:tgtFrame="_blank" w:history="1">
        <w:r w:rsidRPr="00FD18B1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FD18B1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>Росархива</w:t>
        </w:r>
        <w:proofErr w:type="spellEnd"/>
        <w:r w:rsidRPr="00FD18B1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 xml:space="preserve"> от 20.12.2019 № 237</w:t>
        </w:r>
      </w:hyperlink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(далее – Инструкция), разъясняем следующее:</w:t>
      </w:r>
    </w:p>
    <w:p w:rsidR="00FD18B1" w:rsidRPr="00FD18B1" w:rsidRDefault="00FD18B1" w:rsidP="00FD18B1">
      <w:pPr>
        <w:numPr>
          <w:ilvl w:val="0"/>
          <w:numId w:val="1"/>
        </w:numPr>
        <w:shd w:val="clear" w:color="auto" w:fill="FFFFFF"/>
        <w:suppressAutoHyphens w:val="0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соответствии с пунктом 12 Указа Президента Российской Федерации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 от 23 мая 1996 г. № 763 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дня их официального опубликования, если самими актами не установлен другой порядок вступления их в силу.</w:t>
      </w:r>
    </w:p>
    <w:p w:rsidR="00FD18B1" w:rsidRPr="00FD18B1" w:rsidRDefault="00FD18B1" w:rsidP="00FD18B1">
      <w:pPr>
        <w:shd w:val="clear" w:color="auto" w:fill="FFFFFF"/>
        <w:suppressAutoHyphens w:val="0"/>
        <w:spacing w:before="240" w:after="24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Приказы </w:t>
      </w:r>
      <w:proofErr w:type="spellStart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Росархива</w:t>
      </w:r>
      <w:proofErr w:type="spellEnd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 утверждении Перечня и Инструкции были опубликованы на «Официальном интернет-портале правовой информации» (</w:t>
      </w:r>
      <w:hyperlink r:id="rId10" w:tgtFrame="_blank" w:history="1">
        <w:r w:rsidRPr="00FD18B1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>www.pravo.gov.ru</w:t>
        </w:r>
      </w:hyperlink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 соответственно 7 и 14 февраля текущего года.</w:t>
      </w:r>
    </w:p>
    <w:p w:rsidR="00FD18B1" w:rsidRPr="00FD18B1" w:rsidRDefault="00FD18B1" w:rsidP="00FD18B1">
      <w:pPr>
        <w:shd w:val="clear" w:color="auto" w:fill="FFFFFF"/>
        <w:suppressAutoHyphens w:val="0"/>
        <w:spacing w:before="240" w:after="24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Таким образом, приказы </w:t>
      </w:r>
      <w:proofErr w:type="spellStart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Росархива</w:t>
      </w:r>
      <w:proofErr w:type="spellEnd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от 20 декабря 2019 г. № 236 и 237 вступили в силу соответственно 18 февраля и 25 февраля 2020 года. Одновременно с вступлением в силу приказа </w:t>
      </w:r>
      <w:proofErr w:type="spellStart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Росархива</w:t>
      </w:r>
      <w:proofErr w:type="spellEnd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№ 236, </w:t>
      </w:r>
      <w:hyperlink r:id="rId11" w:tgtFrame="_blank" w:history="1">
        <w:r w:rsidRPr="00FD18B1">
          <w:rPr>
            <w:rFonts w:ascii="Tahoma" w:eastAsia="Times New Roman" w:hAnsi="Tahoma" w:cs="Tahoma"/>
            <w:color w:val="333333"/>
            <w:sz w:val="21"/>
            <w:szCs w:val="21"/>
            <w:u w:val="single"/>
            <w:lang w:eastAsia="ru-RU"/>
          </w:rPr>
          <w:t>приказ Минкультуры России от 25 августа 2010 г. № 558</w:t>
        </w:r>
      </w:hyperlink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их хранения» был признан утратившим силу приказом Минкультуры России от 17 декабря 2019 г. № 1964.</w:t>
      </w:r>
    </w:p>
    <w:p w:rsidR="00FD18B1" w:rsidRPr="00FD18B1" w:rsidRDefault="00FD18B1" w:rsidP="00FD18B1">
      <w:pPr>
        <w:numPr>
          <w:ilvl w:val="0"/>
          <w:numId w:val="1"/>
        </w:numPr>
        <w:shd w:val="clear" w:color="auto" w:fill="FFFFFF"/>
        <w:suppressAutoHyphens w:val="0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Сроки хранения документов, установленные Перечнем, применяются ко всем документам, законченным в делопроизводстве (в том числе до вступления в силу приказа </w:t>
      </w:r>
      <w:proofErr w:type="spellStart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Росархива</w:t>
      </w:r>
      <w:proofErr w:type="spellEnd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от 20.12.2019 № 236), за исключением тех документов, которые уже внесены в описи дел постоянного хранения и акты о выделении к уничтожению документов, не подлежащих хранению, утвержденные в установленном порядке до вступления в силу приказа </w:t>
      </w:r>
      <w:proofErr w:type="spellStart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Росархива</w:t>
      </w:r>
      <w:proofErr w:type="spellEnd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от 20.12.2019 № 236.</w:t>
      </w:r>
    </w:p>
    <w:p w:rsidR="00FD18B1" w:rsidRPr="00FD18B1" w:rsidRDefault="00FD18B1" w:rsidP="00FD18B1">
      <w:pPr>
        <w:numPr>
          <w:ilvl w:val="0"/>
          <w:numId w:val="1"/>
        </w:numPr>
        <w:shd w:val="clear" w:color="auto" w:fill="FFFFFF"/>
        <w:suppressAutoHyphens w:val="0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номенклатуры дел на 2020 год, согласованные и утвержденные до вступления в силу приказов </w:t>
      </w:r>
      <w:proofErr w:type="spellStart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Росархива</w:t>
      </w:r>
      <w:proofErr w:type="spellEnd"/>
      <w:r w:rsidRPr="00FD18B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 утверждении Перечня и Инструкции, необходимо внести изменения по срокам хранения с указанием на статьи нового Перечня.</w:t>
      </w:r>
    </w:p>
    <w:p w:rsidR="00FD18B1" w:rsidRPr="00FD18B1" w:rsidRDefault="00FD18B1" w:rsidP="00FD18B1">
      <w:pPr>
        <w:shd w:val="clear" w:color="auto" w:fill="FFFFFF"/>
        <w:suppressAutoHyphens w:val="0"/>
        <w:spacing w:before="75" w:after="0" w:line="0" w:lineRule="auto"/>
        <w:ind w:left="-15"/>
        <w:jc w:val="right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D18B1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Опубликовано: 12.03.2020, последнее изменение: 14.03.2020</w:t>
      </w:r>
    </w:p>
    <w:p w:rsidR="00BB1470" w:rsidRDefault="00BB1470" w:rsidP="00FD18B1">
      <w:pPr>
        <w:shd w:val="clear" w:color="auto" w:fill="FFFFFF"/>
        <w:suppressAutoHyphens w:val="0"/>
        <w:spacing w:before="240" w:after="240" w:line="0" w:lineRule="auto"/>
        <w:ind w:left="-15"/>
        <w:jc w:val="right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</w:p>
    <w:p w:rsidR="00BB1470" w:rsidRDefault="00BB1470" w:rsidP="00FD18B1">
      <w:pPr>
        <w:shd w:val="clear" w:color="auto" w:fill="FFFFFF"/>
        <w:suppressAutoHyphens w:val="0"/>
        <w:spacing w:before="240" w:after="240" w:line="0" w:lineRule="auto"/>
        <w:ind w:left="-15"/>
        <w:jc w:val="right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</w:p>
    <w:p w:rsidR="00BB1470" w:rsidRDefault="00BB1470" w:rsidP="00FD18B1">
      <w:pPr>
        <w:shd w:val="clear" w:color="auto" w:fill="FFFFFF"/>
        <w:suppressAutoHyphens w:val="0"/>
        <w:spacing w:before="240" w:after="240" w:line="0" w:lineRule="auto"/>
        <w:ind w:left="-15"/>
        <w:jc w:val="right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</w:p>
    <w:p w:rsidR="00BB1470" w:rsidRDefault="00BB1470" w:rsidP="00FD18B1">
      <w:pPr>
        <w:shd w:val="clear" w:color="auto" w:fill="FFFFFF"/>
        <w:suppressAutoHyphens w:val="0"/>
        <w:spacing w:before="240" w:after="240" w:line="0" w:lineRule="auto"/>
        <w:ind w:left="-15"/>
        <w:jc w:val="right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</w:p>
    <w:p w:rsidR="00BB1470" w:rsidRDefault="00BB1470" w:rsidP="00FD18B1">
      <w:pPr>
        <w:shd w:val="clear" w:color="auto" w:fill="FFFFFF"/>
        <w:suppressAutoHyphens w:val="0"/>
        <w:spacing w:before="240" w:after="240" w:line="0" w:lineRule="auto"/>
        <w:ind w:left="-15"/>
        <w:jc w:val="right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</w:p>
    <w:p w:rsidR="00BB1470" w:rsidRDefault="00BB1470" w:rsidP="00FD18B1">
      <w:pPr>
        <w:shd w:val="clear" w:color="auto" w:fill="FFFFFF"/>
        <w:suppressAutoHyphens w:val="0"/>
        <w:spacing w:before="240" w:after="240" w:line="0" w:lineRule="auto"/>
        <w:ind w:left="-15"/>
        <w:jc w:val="right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</w:p>
    <w:p w:rsidR="00FD18B1" w:rsidRPr="00FD18B1" w:rsidRDefault="00FD18B1" w:rsidP="00FD18B1">
      <w:pPr>
        <w:shd w:val="clear" w:color="auto" w:fill="FFFFFF"/>
        <w:suppressAutoHyphens w:val="0"/>
        <w:spacing w:before="240" w:after="240" w:line="0" w:lineRule="auto"/>
        <w:ind w:lef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B1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---</w:t>
      </w:r>
    </w:p>
    <w:p w:rsidR="00FD18B1" w:rsidRPr="00FD18B1" w:rsidRDefault="00FD18B1" w:rsidP="00FD18B1">
      <w:pPr>
        <w:shd w:val="clear" w:color="auto" w:fill="FFFFFF"/>
        <w:suppressAutoHyphens w:val="0"/>
        <w:spacing w:before="240" w:after="240" w:line="0" w:lineRule="auto"/>
        <w:ind w:left="-15"/>
        <w:jc w:val="right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FD18B1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Полная версия этого текста находится на странице </w:t>
      </w:r>
      <w:hyperlink r:id="rId12" w:history="1">
        <w:r w:rsidRPr="00FD18B1">
          <w:rPr>
            <w:rFonts w:ascii="Tahoma" w:eastAsia="Times New Roman" w:hAnsi="Tahoma" w:cs="Tahoma"/>
            <w:color w:val="333333"/>
            <w:sz w:val="17"/>
            <w:szCs w:val="17"/>
            <w:u w:val="single"/>
            <w:lang w:eastAsia="ru-RU"/>
          </w:rPr>
          <w:t>https://archives.gov.ru/index.php?q=press/12-03-2020.shtml</w:t>
        </w:r>
      </w:hyperlink>
    </w:p>
    <w:p w:rsidR="00BB1470" w:rsidRPr="00BB1470" w:rsidRDefault="00BB1470" w:rsidP="00BB1470">
      <w:pPr>
        <w:suppressAutoHyphens w:val="0"/>
        <w:spacing w:before="75" w:after="0" w:line="0" w:lineRule="auto"/>
        <w:ind w:left="-15"/>
        <w:rPr>
          <w:rFonts w:ascii="Tahoma" w:eastAsia="Times New Roman" w:hAnsi="Tahoma" w:cs="Tahoma"/>
          <w:color w:val="666666"/>
          <w:sz w:val="17"/>
          <w:szCs w:val="17"/>
          <w:shd w:val="clear" w:color="auto" w:fill="FFFFFF"/>
          <w:lang w:eastAsia="ru-RU"/>
        </w:rPr>
      </w:pPr>
      <w:r w:rsidRPr="00BB1470">
        <w:rPr>
          <w:rFonts w:ascii="Tahoma" w:eastAsia="Times New Roman" w:hAnsi="Tahoma" w:cs="Tahoma"/>
          <w:color w:val="666666"/>
          <w:sz w:val="17"/>
          <w:szCs w:val="17"/>
          <w:shd w:val="clear" w:color="auto" w:fill="FFFFFF"/>
          <w:lang w:eastAsia="ru-RU"/>
        </w:rPr>
        <w:t xml:space="preserve">Опубликовано: 12.03.2020, </w:t>
      </w:r>
      <w:proofErr w:type="spellStart"/>
      <w:r w:rsidRPr="00BB1470">
        <w:rPr>
          <w:rFonts w:ascii="Tahoma" w:eastAsia="Times New Roman" w:hAnsi="Tahoma" w:cs="Tahoma"/>
          <w:color w:val="666666"/>
          <w:sz w:val="17"/>
          <w:szCs w:val="17"/>
          <w:shd w:val="clear" w:color="auto" w:fill="FFFFFF"/>
          <w:lang w:eastAsia="ru-RU"/>
        </w:rPr>
        <w:t>последн</w:t>
      </w:r>
      <w:proofErr w:type="spellEnd"/>
    </w:p>
    <w:p w:rsidR="00BB1470" w:rsidRPr="00BB1470" w:rsidRDefault="00BB1470" w:rsidP="00BB1470">
      <w:pPr>
        <w:suppressAutoHyphens w:val="0"/>
        <w:spacing w:before="240" w:after="240" w:line="0" w:lineRule="auto"/>
        <w:ind w:left="-15"/>
        <w:rPr>
          <w:rFonts w:ascii="Tahoma" w:eastAsia="Times New Roman" w:hAnsi="Tahoma" w:cs="Tahoma"/>
          <w:color w:val="666666"/>
          <w:sz w:val="17"/>
          <w:szCs w:val="17"/>
          <w:shd w:val="clear" w:color="auto" w:fill="FFFFFF"/>
          <w:lang w:eastAsia="ru-RU"/>
        </w:rPr>
      </w:pPr>
      <w:r w:rsidRPr="00BB1470">
        <w:rPr>
          <w:rFonts w:ascii="Tahoma" w:eastAsia="Times New Roman" w:hAnsi="Tahoma" w:cs="Tahoma"/>
          <w:color w:val="666666"/>
          <w:sz w:val="17"/>
          <w:szCs w:val="17"/>
          <w:shd w:val="clear" w:color="auto" w:fill="FFFFFF"/>
          <w:lang w:eastAsia="ru-RU"/>
        </w:rPr>
        <w:t>Полная версия этого текста находится на странице </w:t>
      </w:r>
      <w:hyperlink r:id="rId13" w:history="1">
        <w:r w:rsidRPr="00BB1470">
          <w:rPr>
            <w:rFonts w:ascii="Tahoma" w:eastAsia="Times New Roman" w:hAnsi="Tahoma" w:cs="Tahoma"/>
            <w:color w:val="333333"/>
            <w:sz w:val="17"/>
            <w:szCs w:val="17"/>
            <w:u w:val="single"/>
            <w:shd w:val="clear" w:color="auto" w:fill="FFFFFF"/>
            <w:lang w:eastAsia="ru-RU"/>
          </w:rPr>
          <w:t>https://archives.gov.ru/index.php?q=press/12-03-2020.shtml</w:t>
        </w:r>
      </w:hyperlink>
    </w:p>
    <w:p w:rsidR="00FD18B1" w:rsidRDefault="00FD18B1">
      <w:pPr>
        <w:ind w:firstLine="851"/>
        <w:jc w:val="both"/>
      </w:pPr>
    </w:p>
    <w:sectPr w:rsidR="00FD18B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13BC"/>
    <w:multiLevelType w:val="multilevel"/>
    <w:tmpl w:val="70CE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68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65"/>
    <w:rsid w:val="00406165"/>
    <w:rsid w:val="00BB1470"/>
    <w:rsid w:val="00F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6603"/>
  <w15:docId w15:val="{43C614CA-E10D-412A-BCBC-DC8E1362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D18B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character" w:customStyle="1" w:styleId="10">
    <w:name w:val="Заголовок 1 Знак"/>
    <w:basedOn w:val="a0"/>
    <w:link w:val="1"/>
    <w:uiPriority w:val="9"/>
    <w:rsid w:val="00FD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FD18B1"/>
  </w:style>
  <w:style w:type="character" w:styleId="a8">
    <w:name w:val="Hyperlink"/>
    <w:basedOn w:val="a0"/>
    <w:uiPriority w:val="99"/>
    <w:semiHidden/>
    <w:unhideWhenUsed/>
    <w:rsid w:val="00FD18B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D18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FD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gov.ru/documents/prik236_2019.shtml" TargetMode="External"/><Relationship Id="rId13" Type="http://schemas.openxmlformats.org/officeDocument/2006/relationships/hyperlink" Target="https://archives.gov.ru/index.php?q=press/12-03-2020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archives.gov.ru/index.php?q=press/12-03-2020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s.gov.ru/print/press/12-03-2020.shtml" TargetMode="External"/><Relationship Id="rId11" Type="http://schemas.openxmlformats.org/officeDocument/2006/relationships/hyperlink" Target="https://archives.gov.ru/documents/ministry-orders/prik_558_2010.shtml" TargetMode="External"/><Relationship Id="rId5" Type="http://schemas.openxmlformats.org/officeDocument/2006/relationships/hyperlink" Target="http://archives.ru/press/12-03-2020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gov.ru/documents/prik237_2019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Лыткина Татьяна Прокопьевна</dc:creator>
  <dc:description/>
  <cp:lastModifiedBy>user</cp:lastModifiedBy>
  <cp:revision>6</cp:revision>
  <cp:lastPrinted>2023-02-08T05:32:00Z</cp:lastPrinted>
  <dcterms:created xsi:type="dcterms:W3CDTF">2020-03-25T06:44:00Z</dcterms:created>
  <dcterms:modified xsi:type="dcterms:W3CDTF">2023-02-08T05:34:00Z</dcterms:modified>
  <dc:language>ru-RU</dc:language>
</cp:coreProperties>
</file>